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48" w:rsidRPr="000076D9" w:rsidRDefault="000D63C1" w:rsidP="004838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21</w:t>
      </w:r>
      <w:r w:rsidR="000B332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грудня</w:t>
      </w:r>
      <w:r w:rsidR="00483848" w:rsidRPr="000076D9">
        <w:rPr>
          <w:rStyle w:val="a4"/>
          <w:color w:val="000000"/>
          <w:sz w:val="28"/>
          <w:szCs w:val="28"/>
        </w:rPr>
        <w:t xml:space="preserve"> 202</w:t>
      </w:r>
      <w:r w:rsidR="00483848">
        <w:rPr>
          <w:rStyle w:val="a4"/>
          <w:color w:val="000000"/>
          <w:sz w:val="28"/>
          <w:szCs w:val="28"/>
          <w:lang w:val="uk-UA"/>
        </w:rPr>
        <w:t>2</w:t>
      </w:r>
      <w:r w:rsidR="00483848" w:rsidRPr="000076D9">
        <w:rPr>
          <w:rStyle w:val="a4"/>
          <w:color w:val="000000"/>
          <w:sz w:val="28"/>
          <w:szCs w:val="28"/>
        </w:rPr>
        <w:t xml:space="preserve"> року</w:t>
      </w:r>
      <w:r w:rsidR="00483848"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відбулося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чергове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засідання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Вченої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Донецького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Державного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внутрішніх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справ.</w:t>
      </w:r>
    </w:p>
    <w:p w:rsidR="00483848" w:rsidRPr="00B22AE3" w:rsidRDefault="00483848" w:rsidP="004838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064D" w:rsidRDefault="000B3321" w:rsidP="000B3321">
      <w:pPr>
        <w:pStyle w:val="a6"/>
        <w:tabs>
          <w:tab w:val="left" w:pos="1134"/>
        </w:tabs>
        <w:spacing w:line="228" w:lineRule="auto"/>
        <w:ind w:left="0" w:firstLine="709"/>
        <w:jc w:val="both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Першим, відповідно до порядку денного засідання Вченої ради було питання 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«</w:t>
      </w:r>
      <w:r w:rsidR="00F3064D" w:rsidRPr="009F3D46">
        <w:rPr>
          <w:b/>
          <w:sz w:val="28"/>
          <w:szCs w:val="28"/>
        </w:rPr>
        <w:t xml:space="preserve">Про підсумки науково-дослідної та редакційно-видавничої роботи у 2022 році. </w:t>
      </w:r>
      <w:r w:rsidR="00F3064D" w:rsidRPr="00F3064D">
        <w:rPr>
          <w:b/>
          <w:sz w:val="28"/>
          <w:szCs w:val="28"/>
        </w:rPr>
        <w:t>Схвалення планів науково‒дослідної роботи кафедр та науково‒дослідних лабораторій Донецького державного університету внутрішніх справ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»</w:t>
      </w:r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>, з якого доповідав</w:t>
      </w: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перший проректор </w:t>
      </w:r>
      <w:proofErr w:type="spellStart"/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>уніерситету</w:t>
      </w:r>
      <w:proofErr w:type="spellEnd"/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>д.ю.н</w:t>
      </w:r>
      <w:proofErr w:type="spellEnd"/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>., профе</w:t>
      </w:r>
      <w:r w:rsidR="00B35C9F">
        <w:rPr>
          <w:rStyle w:val="a5"/>
          <w:i w:val="0"/>
          <w:color w:val="000000"/>
          <w:sz w:val="28"/>
          <w:szCs w:val="28"/>
          <w:shd w:val="clear" w:color="auto" w:fill="FFFFFF"/>
        </w:rPr>
        <w:t>с</w:t>
      </w:r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ор майор поліції </w:t>
      </w:r>
      <w:r w:rsidR="00F3064D" w:rsidRPr="00F3064D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 xml:space="preserve">Єгор </w:t>
      </w:r>
      <w:proofErr w:type="spellStart"/>
      <w:r w:rsidR="00F3064D" w:rsidRPr="00F3064D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Назимко</w:t>
      </w:r>
      <w:proofErr w:type="spellEnd"/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>.</w:t>
      </w:r>
    </w:p>
    <w:p w:rsidR="000B3321" w:rsidRDefault="000B3321" w:rsidP="000B3321">
      <w:pPr>
        <w:pStyle w:val="a6"/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>Членами вченої</w:t>
      </w:r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ради було схвалено рішення</w:t>
      </w: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: </w:t>
      </w:r>
    </w:p>
    <w:p w:rsidR="00F3064D" w:rsidRPr="00605CC5" w:rsidRDefault="00F3064D" w:rsidP="00F3064D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Керівництву КННІ (</w:t>
      </w:r>
      <w:r w:rsidRPr="00EB21BE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Єпринцев</w:t>
      </w:r>
      <w:proofErr w:type="spellEnd"/>
      <w:r>
        <w:rPr>
          <w:sz w:val="28"/>
          <w:szCs w:val="28"/>
        </w:rPr>
        <w:t>) р</w:t>
      </w:r>
      <w:r w:rsidRPr="00605CC5">
        <w:rPr>
          <w:sz w:val="28"/>
          <w:szCs w:val="28"/>
        </w:rPr>
        <w:t xml:space="preserve">озробити положення про науково-методичну раду КННІ </w:t>
      </w:r>
      <w:proofErr w:type="spellStart"/>
      <w:r w:rsidRPr="00605CC5">
        <w:rPr>
          <w:sz w:val="28"/>
          <w:szCs w:val="28"/>
        </w:rPr>
        <w:t>ДонДУВС</w:t>
      </w:r>
      <w:proofErr w:type="spellEnd"/>
      <w:r w:rsidRPr="00605CC5">
        <w:rPr>
          <w:sz w:val="28"/>
          <w:szCs w:val="28"/>
        </w:rPr>
        <w:t xml:space="preserve"> та забезпечити його впровадження в діяльність університету.</w:t>
      </w:r>
    </w:p>
    <w:p w:rsidR="00F3064D" w:rsidRPr="00F3064D" w:rsidRDefault="00F3064D" w:rsidP="00F306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64D">
        <w:rPr>
          <w:rFonts w:ascii="Times New Roman" w:hAnsi="Times New Roman" w:cs="Times New Roman"/>
          <w:sz w:val="28"/>
          <w:szCs w:val="28"/>
          <w:lang w:val="uk-UA"/>
        </w:rPr>
        <w:t>Термін: до 30 січня 2023.</w:t>
      </w:r>
    </w:p>
    <w:p w:rsidR="00F3064D" w:rsidRPr="00F3064D" w:rsidRDefault="00F3064D" w:rsidP="00F306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64D">
        <w:rPr>
          <w:rFonts w:ascii="Times New Roman" w:hAnsi="Times New Roman" w:cs="Times New Roman"/>
          <w:sz w:val="28"/>
          <w:szCs w:val="28"/>
          <w:lang w:val="uk-UA"/>
        </w:rPr>
        <w:t xml:space="preserve">Вважати, що переважна більшість наукових заходів, передбачених </w:t>
      </w:r>
      <w:r w:rsidRPr="00F3064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Планом науково-дослідної роботи Донецького державного університету внутрішніх справ на 2022 рік не виконана, у зв’язку з воєнним станом в країні, звільнення авторів, перехід авторів на інші посади в Університеті.</w:t>
      </w:r>
    </w:p>
    <w:p w:rsidR="00F3064D" w:rsidRPr="00F3064D" w:rsidRDefault="00F3064D" w:rsidP="00F3064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64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Деканам факультетів університету, завідувачам кафедр та науково-дослідних лабораторій звернути увагу, що всі видання, які подаються на розгляд наукової, методичної, а потім вже Вченої ради Університету повинні відповідати вимогам, які висуваються до видань, які подаються на розгляд.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>Декану факультету №1 КННІ (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О. 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Цуркан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замовлень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кафедрою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</w:t>
      </w:r>
      <w:r w:rsidRPr="00F3064D">
        <w:rPr>
          <w:rFonts w:ascii="Times New Roman" w:hAnsi="Times New Roman" w:cs="Times New Roman"/>
          <w:sz w:val="28"/>
          <w:szCs w:val="28"/>
        </w:rPr>
        <w:t> 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1 КННІ, 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факультетом не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надано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зареєстрованої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УкрІНТЕІ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наданий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НДР за факультетом в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>Декану факультету №1 КННІ (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О. 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Цуркан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ректораті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теми факультету №</w:t>
      </w:r>
      <w:r w:rsidRPr="00F3064D">
        <w:rPr>
          <w:rFonts w:ascii="Times New Roman" w:hAnsi="Times New Roman" w:cs="Times New Roman"/>
          <w:sz w:val="28"/>
          <w:szCs w:val="28"/>
        </w:rPr>
        <w:t> 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1 КННІ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зареєстрованої</w:t>
      </w:r>
      <w:proofErr w:type="spellEnd"/>
      <w:r w:rsidR="00B35C9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УкрІНТЕІ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зазначеній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січень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2023.</w:t>
      </w:r>
    </w:p>
    <w:p w:rsidR="00F3064D" w:rsidRPr="00F3064D" w:rsidRDefault="00F3064D" w:rsidP="00F3064D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>Деканам факультету №1 (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Pr="00F3064D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Ковальова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), факультету №1 КННІ (О.</w:t>
      </w:r>
      <w:r w:rsidRPr="00F306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Цуркан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зовсім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подавали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матеріали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2022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році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змін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законопроєктів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кафедра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процесу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криміналістики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факультету №</w:t>
      </w:r>
      <w:r w:rsidRPr="00F3064D">
        <w:rPr>
          <w:rFonts w:ascii="Times New Roman" w:eastAsia="Calibri" w:hAnsi="Times New Roman" w:cs="Times New Roman"/>
          <w:sz w:val="28"/>
          <w:szCs w:val="28"/>
        </w:rPr>
        <w:t> </w:t>
      </w:r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та кафедра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соціально-гуманітарних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загальноправових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дисциплін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факультету № 1 КННІ,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однак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ці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кафедри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включені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переліку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здійснюють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аналіз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законопроєктів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Деканам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КННІ (</w:t>
      </w:r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Ковальова</w:t>
      </w:r>
      <w:proofErr w:type="spellEnd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М.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Тишлек</w:t>
      </w:r>
      <w:proofErr w:type="spellEnd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А.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Рибалкін</w:t>
      </w:r>
      <w:proofErr w:type="spellEnd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О.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Куракін</w:t>
      </w:r>
      <w:proofErr w:type="spellEnd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О.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Цуркан</w:t>
      </w:r>
      <w:proofErr w:type="spellEnd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Д.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Пилипенко</w:t>
      </w:r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звертати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увагу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якість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збірників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брошур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конференцій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круглих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столів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постійно</w:t>
      </w:r>
      <w:proofErr w:type="spellEnd"/>
      <w:r w:rsidR="00B35C9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кафедр і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науково‒дослідних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05 числа кожного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звітувати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ВОНР (</w:t>
      </w:r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Буга</w:t>
      </w:r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про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хід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НДР у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вигляді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доповідних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записок.</w:t>
      </w:r>
    </w:p>
    <w:p w:rsidR="00F3064D" w:rsidRPr="00F3064D" w:rsidRDefault="00F3064D" w:rsidP="00F3064D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щомісячно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05 числа</w:t>
      </w:r>
      <w:r w:rsidR="00B35C9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="00B35C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належну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підлеглими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Вживати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системних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дієвого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опублікування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пройти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плагіат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робиться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довідка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перевірки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підписується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фахівцем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ВОНР та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завідувачем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кафедри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 року.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своєчасне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якісне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планом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2023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Стан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запланованих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щоквартально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кафедр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F306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064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3064D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F3064D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F30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опублікування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направляти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рукописи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редакційно-видавничої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плану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системну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публікування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статей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F3064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iCs/>
          <w:sz w:val="28"/>
          <w:szCs w:val="28"/>
          <w:lang w:val="ru-RU"/>
        </w:rPr>
        <w:t>індексуються</w:t>
      </w:r>
      <w:proofErr w:type="spellEnd"/>
      <w:r w:rsidRPr="00F3064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наукометричних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базах </w:t>
      </w:r>
      <w:r w:rsidRPr="00F3064D">
        <w:rPr>
          <w:rFonts w:ascii="Times New Roman" w:hAnsi="Times New Roman" w:cs="Times New Roman"/>
          <w:sz w:val="28"/>
          <w:szCs w:val="28"/>
        </w:rPr>
        <w:t>Scopus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sz w:val="28"/>
          <w:szCs w:val="28"/>
        </w:rPr>
        <w:t>Web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sz w:val="28"/>
          <w:szCs w:val="28"/>
        </w:rPr>
        <w:t>of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sz w:val="28"/>
          <w:szCs w:val="28"/>
        </w:rPr>
        <w:t>Science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фахових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статей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«Б».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 року. 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Заступнику директора з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КННІ (Т.</w:t>
      </w:r>
      <w:r w:rsidRPr="00F306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Рекуненко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) до 15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 року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план НДР КННІ.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2023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(Г.</w:t>
      </w:r>
      <w:r w:rsidRPr="00F3064D">
        <w:rPr>
          <w:rFonts w:ascii="Times New Roman" w:hAnsi="Times New Roman" w:cs="Times New Roman"/>
          <w:b/>
          <w:sz w:val="28"/>
          <w:szCs w:val="28"/>
        </w:rPr>
        <w:t> 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Буга)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2023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</w:rPr>
        <w:lastRenderedPageBreak/>
        <w:t>Термін</w:t>
      </w:r>
      <w:proofErr w:type="spellEnd"/>
      <w:r w:rsidRPr="00F306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064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3064D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F3064D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F3064D">
        <w:rPr>
          <w:rFonts w:ascii="Times New Roman" w:hAnsi="Times New Roman" w:cs="Times New Roman"/>
          <w:sz w:val="28"/>
          <w:szCs w:val="28"/>
        </w:rPr>
        <w:t>.</w:t>
      </w:r>
    </w:p>
    <w:p w:rsidR="00D7555D" w:rsidRPr="00F3064D" w:rsidRDefault="00D7555D" w:rsidP="00F3064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06916" w:rsidRPr="00F3064D" w:rsidRDefault="00483848" w:rsidP="00F3064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uk-UA"/>
        </w:rPr>
        <w:t>Другим на порядку денному</w:t>
      </w:r>
      <w:r w:rsidR="00321C61" w:rsidRPr="00F3064D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Вченої ради</w:t>
      </w:r>
      <w:r w:rsidRPr="00F3064D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розглядалось питання</w:t>
      </w:r>
      <w:r w:rsidR="000B3321" w:rsidRPr="00F3064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3064D" w:rsidRPr="00F30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Наукової ради </w:t>
      </w:r>
      <w:proofErr w:type="spellStart"/>
      <w:r w:rsidR="00F3064D" w:rsidRPr="00F3064D">
        <w:rPr>
          <w:rFonts w:ascii="Times New Roman" w:hAnsi="Times New Roman" w:cs="Times New Roman"/>
          <w:b/>
          <w:sz w:val="28"/>
          <w:szCs w:val="28"/>
          <w:lang w:val="uk-UA"/>
        </w:rPr>
        <w:t>ДонДУВС</w:t>
      </w:r>
      <w:proofErr w:type="spellEnd"/>
      <w:r w:rsidR="00F3064D" w:rsidRPr="00F30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 році та перспективи її діяльності у 2023 році</w:t>
      </w:r>
      <w:r w:rsidR="000B3321" w:rsidRPr="00F3064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доповідачем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перший проректор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майор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Є.</w:t>
      </w:r>
      <w:r w:rsidR="00A06916" w:rsidRPr="00F3064D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Назимко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2AE3"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="00B22AE3"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="00B22AE3"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="00B22AE3"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прийнято</w:t>
      </w:r>
      <w:proofErr w:type="spellEnd"/>
      <w:r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F3064D" w:rsidRPr="00D7555D" w:rsidRDefault="00F3064D" w:rsidP="00D755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Вважати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стан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ради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таким,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що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відповідає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основним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вимогам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Закону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України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вищу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освіту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» та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потребує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планування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Подовжити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системну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науково-експертну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колективів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актуальності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тематики,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значущості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перш за все для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55D">
        <w:rPr>
          <w:rFonts w:ascii="Times New Roman" w:hAnsi="Times New Roman" w:cs="Times New Roman"/>
          <w:sz w:val="28"/>
          <w:szCs w:val="28"/>
          <w:lang w:val="ru-RU"/>
        </w:rPr>
        <w:t>Вик.: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F3064D" w:rsidRPr="00D7555D" w:rsidRDefault="00F3064D" w:rsidP="00D7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 плану</w:t>
      </w:r>
      <w:proofErr w:type="gram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обов’язкового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попереднього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тем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кандидатур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виносяться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радою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тем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напрямам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потребам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55D">
        <w:rPr>
          <w:rFonts w:ascii="Times New Roman" w:hAnsi="Times New Roman" w:cs="Times New Roman"/>
          <w:sz w:val="28"/>
          <w:szCs w:val="28"/>
          <w:lang w:val="ru-RU"/>
        </w:rPr>
        <w:t>Вик.: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F3064D" w:rsidRPr="00D7555D" w:rsidRDefault="00F3064D" w:rsidP="00D7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 плану</w:t>
      </w:r>
      <w:proofErr w:type="gram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системну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участі</w:t>
      </w:r>
      <w:proofErr w:type="spellEnd"/>
      <w:r w:rsidRPr="00F3064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резерву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докторантури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ад’юнктури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аспірантури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комісії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ru-RU"/>
        </w:rPr>
        <w:t xml:space="preserve">з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атестації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докторантів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адʼюнктів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(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аспірантів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),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наукове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консультування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здобувачів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доктора наук та доктора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55D">
        <w:rPr>
          <w:rFonts w:ascii="Times New Roman" w:hAnsi="Times New Roman" w:cs="Times New Roman"/>
          <w:sz w:val="28"/>
          <w:szCs w:val="28"/>
          <w:lang w:val="ru-RU"/>
        </w:rPr>
        <w:t>Вик.: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F3064D" w:rsidRPr="00D7555D" w:rsidRDefault="00F3064D" w:rsidP="00D7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D7555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системну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публікування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статей у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555D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D7555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iCs/>
          <w:sz w:val="28"/>
          <w:szCs w:val="28"/>
          <w:lang w:val="ru-RU"/>
        </w:rPr>
        <w:t>індексуються</w:t>
      </w:r>
      <w:proofErr w:type="spellEnd"/>
      <w:r w:rsidRPr="00D7555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наукометричних</w:t>
      </w:r>
      <w:proofErr w:type="spellEnd"/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базах </w:t>
      </w:r>
      <w:r w:rsidRPr="00F30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Scopus</w:t>
      </w:r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30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30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30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55D">
        <w:rPr>
          <w:rFonts w:ascii="Times New Roman" w:hAnsi="Times New Roman" w:cs="Times New Roman"/>
          <w:sz w:val="28"/>
          <w:szCs w:val="28"/>
          <w:lang w:val="ru-RU"/>
        </w:rPr>
        <w:t>Вик.: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F3064D" w:rsidRPr="00D7555D" w:rsidRDefault="00F3064D" w:rsidP="00D7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 року.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особисту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популяризації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збірника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Донбасу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-практичного журналу</w:t>
      </w:r>
      <w:r w:rsidRPr="00F30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поліцеїстика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практика».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безпосередню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збірника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Донбасу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» та журналу </w:t>
      </w:r>
      <w:r w:rsidRPr="00F30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поліцеїстика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, практика»</w:t>
      </w:r>
      <w:r w:rsidRPr="00F30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55D">
        <w:rPr>
          <w:rFonts w:ascii="Times New Roman" w:hAnsi="Times New Roman" w:cs="Times New Roman"/>
          <w:sz w:val="28"/>
          <w:szCs w:val="28"/>
          <w:lang w:val="ru-RU"/>
        </w:rPr>
        <w:t>Вик.: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F3064D" w:rsidRPr="00D7555D" w:rsidRDefault="00F3064D" w:rsidP="00D7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 року.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(С. 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Алфьоров</w:t>
      </w:r>
      <w:proofErr w:type="spellEnd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з головою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(О. 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Волобуєва</w:t>
      </w:r>
      <w:proofErr w:type="spellEnd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коригування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графіків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колегіальних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своєчасної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раду.</w:t>
      </w:r>
    </w:p>
    <w:p w:rsidR="00D7555D" w:rsidRDefault="00F3064D" w:rsidP="00B6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 до 15.01.2023.</w:t>
      </w:r>
    </w:p>
    <w:p w:rsidR="00B4570A" w:rsidRDefault="00DC18CD" w:rsidP="00B630E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Наступним</w:t>
      </w:r>
      <w:proofErr w:type="spellEnd"/>
      <w:r w:rsidR="00B4570A" w:rsidRPr="00B457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згідно порядку денного розглянуто питання</w:t>
      </w:r>
      <w:r w:rsidR="00B4570A"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Pr="0096373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складу приймальної комісії Донецького державного університету внутрішніх справ у 2023 році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4570A" w:rsidRPr="00DC18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доповідачем якого був</w:t>
      </w:r>
      <w:r w:rsidR="00B4570A" w:rsidRPr="00DC18C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>., доцент</w:t>
      </w:r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підполковник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DC18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Pr="00DC18CD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Тулінов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4570A" w:rsidRPr="00DC18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Вчена рада ухвалила:</w:t>
      </w:r>
    </w:p>
    <w:p w:rsidR="00DC18CD" w:rsidRDefault="00DC18CD" w:rsidP="00B630EC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637F">
        <w:rPr>
          <w:sz w:val="28"/>
          <w:szCs w:val="28"/>
        </w:rPr>
        <w:t>Затвердити склад приймальної комісії Донецького державного університету внутрішніх справ у 2023 році.</w:t>
      </w:r>
    </w:p>
    <w:p w:rsidR="00DC18CD" w:rsidRDefault="00DC18CD" w:rsidP="00B630E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КННІ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справ у 2023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8CD" w:rsidRPr="00B630EC" w:rsidRDefault="00DC18CD" w:rsidP="00B63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Приймальним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комісіям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та КННІ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роботу,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набору за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замовленням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та контрактом у 2023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0EC" w:rsidRPr="00AF7F92" w:rsidRDefault="00115C26" w:rsidP="00DB0584">
      <w:pPr>
        <w:pStyle w:val="a9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FBF">
        <w:rPr>
          <w:rFonts w:ascii="Times New Roman" w:hAnsi="Times New Roman" w:cs="Times New Roman"/>
          <w:sz w:val="28"/>
          <w:szCs w:val="28"/>
          <w:lang w:val="uk-UA"/>
        </w:rPr>
        <w:t>У «Різному» порядку денного засідання було розглянуто питання щодо:</w:t>
      </w:r>
      <w:r w:rsidR="00AC5131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r w:rsidR="00B630EC">
        <w:rPr>
          <w:rFonts w:ascii="Times New Roman" w:hAnsi="Times New Roman" w:cs="Times New Roman"/>
          <w:sz w:val="28"/>
          <w:szCs w:val="28"/>
          <w:lang w:val="uk-UA"/>
        </w:rPr>
        <w:t>кандидата на вакантну посаду ученого секретар</w:t>
      </w:r>
      <w:r w:rsidR="00B35C9F">
        <w:rPr>
          <w:rFonts w:ascii="Times New Roman" w:hAnsi="Times New Roman" w:cs="Times New Roman"/>
          <w:sz w:val="28"/>
          <w:szCs w:val="28"/>
          <w:lang w:val="uk-UA"/>
        </w:rPr>
        <w:t>я секретаріату Вченої ради Ольги</w:t>
      </w:r>
      <w:r w:rsidR="00B630EC">
        <w:rPr>
          <w:rFonts w:ascii="Times New Roman" w:hAnsi="Times New Roman" w:cs="Times New Roman"/>
          <w:sz w:val="28"/>
          <w:szCs w:val="28"/>
          <w:lang w:val="uk-UA"/>
        </w:rPr>
        <w:t xml:space="preserve"> Кузьменко;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рецензентів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попередньої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>
        <w:rPr>
          <w:rFonts w:ascii="Times New Roman" w:hAnsi="Times New Roman" w:cs="Times New Roman"/>
          <w:sz w:val="28"/>
          <w:szCs w:val="28"/>
          <w:lang w:val="ru-RU"/>
        </w:rPr>
        <w:t>Марини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Городецької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«Предмет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відання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підготовлена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12.00.09 –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кримінальний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криміналістика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судова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експертиза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; оперативно-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розшукова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AF7F9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дисертаційного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нагляд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контроль у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адміністративно-правові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засади»,</w:t>
      </w:r>
      <w:r w:rsid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>
        <w:rPr>
          <w:rFonts w:ascii="Times New Roman" w:hAnsi="Times New Roman" w:cs="Times New Roman"/>
          <w:sz w:val="28"/>
          <w:szCs w:val="28"/>
          <w:lang w:val="ru-RU"/>
        </w:rPr>
        <w:t>Наталії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F92">
        <w:rPr>
          <w:rFonts w:ascii="Times New Roman" w:hAnsi="Times New Roman" w:cs="Times New Roman"/>
          <w:sz w:val="28"/>
          <w:szCs w:val="28"/>
          <w:lang w:val="ru-RU"/>
        </w:rPr>
        <w:t>Макаренко</w:t>
      </w:r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наук за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12.00.07 «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Адміністративне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право і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право;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право»</w:t>
      </w:r>
      <w:r w:rsidR="00AF7F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здобувачки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поза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аспірантурою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викладачки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господарсько-правових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№4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F92">
        <w:rPr>
          <w:rFonts w:ascii="Times New Roman" w:hAnsi="Times New Roman" w:cs="Times New Roman"/>
          <w:sz w:val="28"/>
          <w:szCs w:val="28"/>
          <w:lang w:val="ru-RU"/>
        </w:rPr>
        <w:t xml:space="preserve">С. Попович;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r w:rsidR="00256D6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на другому (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магістерському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281 «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Публічне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адміністрування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F7F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порядок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конференцій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круглих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столів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="00AF7F9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ліценційної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справ за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освітньо-професійною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Правоохоронна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поліцейські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)» на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бакалаврському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F92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262 </w:t>
      </w:r>
      <w:proofErr w:type="spellStart"/>
      <w:r w:rsidR="00AF7F92" w:rsidRPr="00921F0E">
        <w:rPr>
          <w:rFonts w:ascii="Times New Roman" w:hAnsi="Times New Roman" w:cs="Times New Roman"/>
          <w:sz w:val="28"/>
          <w:szCs w:val="28"/>
          <w:lang w:val="ru-RU"/>
        </w:rPr>
        <w:t>Правоохоронна</w:t>
      </w:r>
      <w:proofErr w:type="spellEnd"/>
      <w:r w:rsidR="00AF7F92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921F0E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AF7F92" w:rsidRPr="00921F0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F7F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0EC" w:rsidRPr="00AF7F92" w:rsidRDefault="00B630EC" w:rsidP="00DB0584">
      <w:pPr>
        <w:pStyle w:val="a9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F0E" w:rsidRPr="00741713" w:rsidRDefault="008E3DC4" w:rsidP="007417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DC4">
        <w:rPr>
          <w:rFonts w:ascii="Times New Roman" w:hAnsi="Times New Roman" w:cs="Times New Roman"/>
          <w:sz w:val="28"/>
          <w:lang w:val="uk-UA"/>
        </w:rPr>
        <w:lastRenderedPageBreak/>
        <w:t xml:space="preserve">Членами Вченої ради університету одноголосно схвалено рішення щодо </w:t>
      </w:r>
      <w:r w:rsidRPr="008E3DC4">
        <w:rPr>
          <w:rFonts w:ascii="Times New Roman" w:hAnsi="Times New Roman" w:cs="Times New Roman"/>
          <w:b/>
          <w:sz w:val="28"/>
          <w:lang w:val="uk-UA"/>
        </w:rPr>
        <w:t>рекомендації до друку</w:t>
      </w:r>
      <w:r w:rsidRPr="008E3D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1F0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бірник</w:t>
      </w:r>
      <w:r w:rsidR="00921F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праць «Правовий часопис Донбасу» («</w:t>
      </w:r>
      <w:r w:rsidR="00921F0E" w:rsidRPr="00921F0E">
        <w:rPr>
          <w:rFonts w:ascii="Times New Roman" w:hAnsi="Times New Roman" w:cs="Times New Roman"/>
          <w:sz w:val="28"/>
          <w:szCs w:val="28"/>
        </w:rPr>
        <w:t>Law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F0E" w:rsidRPr="00921F0E">
        <w:rPr>
          <w:rFonts w:ascii="Times New Roman" w:hAnsi="Times New Roman" w:cs="Times New Roman"/>
          <w:sz w:val="28"/>
          <w:szCs w:val="28"/>
        </w:rPr>
        <w:t>journal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F0E" w:rsidRPr="00921F0E">
        <w:rPr>
          <w:rFonts w:ascii="Times New Roman" w:hAnsi="Times New Roman" w:cs="Times New Roman"/>
          <w:sz w:val="28"/>
          <w:szCs w:val="28"/>
        </w:rPr>
        <w:t>of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F0E" w:rsidRPr="00921F0E">
        <w:rPr>
          <w:rFonts w:ascii="Times New Roman" w:hAnsi="Times New Roman" w:cs="Times New Roman"/>
          <w:sz w:val="28"/>
          <w:szCs w:val="28"/>
        </w:rPr>
        <w:t>Donbass</w:t>
      </w:r>
      <w:r w:rsidR="00921F0E">
        <w:rPr>
          <w:rFonts w:ascii="Times New Roman" w:hAnsi="Times New Roman" w:cs="Times New Roman"/>
          <w:sz w:val="28"/>
          <w:szCs w:val="28"/>
          <w:lang w:val="uk-UA"/>
        </w:rPr>
        <w:t xml:space="preserve">») №4(81)2022; 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монографії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«Досудове розслідування щодо неповнолітнього підозрюваного» (автор: О.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921F0E">
        <w:rPr>
          <w:rFonts w:ascii="Times New Roman" w:hAnsi="Times New Roman" w:cs="Times New Roman"/>
          <w:sz w:val="28"/>
          <w:szCs w:val="28"/>
          <w:lang w:val="uk-UA"/>
        </w:rPr>
        <w:t xml:space="preserve">Г. Литвиненко); 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бірник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ІІ Міжнародної науково-практичної конференції (в авторській редакції): «Приватно-правові та публічно-правові відносини: проблеми теорії та практики в умовах воєнної агресії»</w:t>
      </w:r>
      <w:r w:rsidR="00921F0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навчально-методичних рекомендацій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«Реагування на посягання на джерела радіологічної безпеки» (автори: А.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Краснощок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, Д.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>
        <w:rPr>
          <w:rFonts w:ascii="Times New Roman" w:hAnsi="Times New Roman" w:cs="Times New Roman"/>
          <w:sz w:val="28"/>
          <w:szCs w:val="28"/>
          <w:lang w:val="uk-UA"/>
        </w:rPr>
        <w:t>Діхтяр</w:t>
      </w:r>
      <w:proofErr w:type="spellEnd"/>
      <w:r w:rsidR="00921F0E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 xml:space="preserve"> «Матеріальна частина зброї, спеціальні засоби. 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слухачів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матеріальної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зброї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, правил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з ними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: О.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Цуркан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Голик, 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Мазур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Цивільний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 схемах</w:t>
      </w:r>
      <w:proofErr w:type="gram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таблицях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: Г.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Устінова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-Бойченко, О.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Скрябін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Юнацьки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Трудове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gram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 схемах</w:t>
      </w:r>
      <w:proofErr w:type="gram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таблицях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: Г.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Устінова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-Бойченко, А.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Абдель Фатах);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F0E" w:rsidRPr="00921F0E">
        <w:rPr>
          <w:rFonts w:ascii="Times New Roman" w:hAnsi="Times New Roman" w:cs="Times New Roman"/>
          <w:sz w:val="28"/>
          <w:szCs w:val="28"/>
        </w:rPr>
        <w:t>VIII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адміністративного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права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Кропивницький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02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2022 року)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741713"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</w:t>
      </w:r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 xml:space="preserve"> із проведення практичних занять у формі інтерактивного поліцейського </w:t>
      </w:r>
      <w:proofErr w:type="spellStart"/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вищої освіти із специфічними умовами навчання, які здійснюють підготовку поліцейських (автори: С.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uk-UA"/>
        </w:rPr>
        <w:t>Вітвіцький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uk-UA"/>
        </w:rPr>
        <w:t xml:space="preserve">, О.М.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uk-UA"/>
        </w:rPr>
        <w:t>Мердова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науково-практичних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Затримання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особи, яка вчинила </w:t>
      </w:r>
      <w:proofErr w:type="spellStart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злочин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уповноваженою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службовою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особою»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Городецька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Потоцький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 Романов); </w:t>
      </w:r>
      <w:proofErr w:type="spellStart"/>
      <w:r w:rsidR="00741713">
        <w:rPr>
          <w:rFonts w:ascii="Times New Roman" w:hAnsi="Times New Roman" w:cs="Times New Roman"/>
          <w:bCs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посібник</w:t>
      </w:r>
      <w:r w:rsidR="0074171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секретності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>Єпринцев</w:t>
      </w:r>
      <w:proofErr w:type="spellEnd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П., </w:t>
      </w:r>
      <w:proofErr w:type="spellStart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>Шапарь</w:t>
      </w:r>
      <w:proofErr w:type="spellEnd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А., Приходько А., </w:t>
      </w:r>
      <w:proofErr w:type="spellStart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>Ємельянов</w:t>
      </w:r>
      <w:proofErr w:type="spellEnd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Р., </w:t>
      </w:r>
      <w:proofErr w:type="spellStart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>Аксьонов</w:t>
      </w:r>
      <w:proofErr w:type="spellEnd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К.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Кримінальний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судове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Городецька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М., Груздь О.,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Єлаєв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Ю.,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Ємельянов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256D6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256D64">
        <w:rPr>
          <w:rFonts w:ascii="Times New Roman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Городецька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М.,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Єлаєв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Ю., Литвиненко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О.)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Протидія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кримінальним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правопорушенням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стану» (м.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опивницький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, 27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 2022 р.);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науково-аналітичного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досудового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домашнім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насильством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: М.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Цуцкерідзе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>, С.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Гайду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, М. Романов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741713">
        <w:rPr>
          <w:rFonts w:ascii="Times New Roman" w:hAnsi="Times New Roman" w:cs="Times New Roman"/>
          <w:sz w:val="28"/>
          <w:szCs w:val="28"/>
          <w:lang w:val="uk-UA"/>
        </w:rPr>
        <w:t>; з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бірника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стану» (м.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Кривий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Ріг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25 листопада 2022 року)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Городецька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М., Лоскутов Т., Пилипенко Д.,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Потоцький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М.).</w:t>
      </w:r>
    </w:p>
    <w:p w:rsidR="00515520" w:rsidRPr="008E3DC4" w:rsidRDefault="00515520" w:rsidP="008E3D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5520" w:rsidRPr="008E3D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65E"/>
    <w:multiLevelType w:val="hybridMultilevel"/>
    <w:tmpl w:val="4E20A264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979C8"/>
    <w:multiLevelType w:val="hybridMultilevel"/>
    <w:tmpl w:val="58E0201A"/>
    <w:lvl w:ilvl="0" w:tplc="DD824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D3186"/>
    <w:multiLevelType w:val="hybridMultilevel"/>
    <w:tmpl w:val="273C8C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945A63"/>
    <w:multiLevelType w:val="multilevel"/>
    <w:tmpl w:val="6870E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6E2D0C"/>
    <w:multiLevelType w:val="hybridMultilevel"/>
    <w:tmpl w:val="D75C8F7C"/>
    <w:lvl w:ilvl="0" w:tplc="D5A4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673A"/>
    <w:multiLevelType w:val="hybridMultilevel"/>
    <w:tmpl w:val="193208F8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40483F"/>
    <w:multiLevelType w:val="hybridMultilevel"/>
    <w:tmpl w:val="C624C898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9C6B9D"/>
    <w:multiLevelType w:val="hybridMultilevel"/>
    <w:tmpl w:val="6FB86526"/>
    <w:lvl w:ilvl="0" w:tplc="F048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10E9C"/>
    <w:multiLevelType w:val="hybridMultilevel"/>
    <w:tmpl w:val="E0223034"/>
    <w:lvl w:ilvl="0" w:tplc="B8F05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586C81"/>
    <w:multiLevelType w:val="hybridMultilevel"/>
    <w:tmpl w:val="6D70CFA6"/>
    <w:lvl w:ilvl="0" w:tplc="C7BE65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A"/>
    <w:rsid w:val="000B3321"/>
    <w:rsid w:val="000D63C1"/>
    <w:rsid w:val="00115C26"/>
    <w:rsid w:val="001E497D"/>
    <w:rsid w:val="001F11FE"/>
    <w:rsid w:val="00256D64"/>
    <w:rsid w:val="002C5094"/>
    <w:rsid w:val="00321C61"/>
    <w:rsid w:val="00394FBF"/>
    <w:rsid w:val="003E653A"/>
    <w:rsid w:val="00483848"/>
    <w:rsid w:val="004C5866"/>
    <w:rsid w:val="00515520"/>
    <w:rsid w:val="0057731C"/>
    <w:rsid w:val="005A184F"/>
    <w:rsid w:val="00671849"/>
    <w:rsid w:val="006A13D9"/>
    <w:rsid w:val="006E00CE"/>
    <w:rsid w:val="00741713"/>
    <w:rsid w:val="00793F82"/>
    <w:rsid w:val="008A662A"/>
    <w:rsid w:val="008E3DC4"/>
    <w:rsid w:val="00921F0E"/>
    <w:rsid w:val="00A06916"/>
    <w:rsid w:val="00A24ECA"/>
    <w:rsid w:val="00A8077D"/>
    <w:rsid w:val="00AB6790"/>
    <w:rsid w:val="00AC5131"/>
    <w:rsid w:val="00AF7F92"/>
    <w:rsid w:val="00B22AE3"/>
    <w:rsid w:val="00B35C9F"/>
    <w:rsid w:val="00B4570A"/>
    <w:rsid w:val="00B630EC"/>
    <w:rsid w:val="00D1183D"/>
    <w:rsid w:val="00D31245"/>
    <w:rsid w:val="00D562B6"/>
    <w:rsid w:val="00D7555D"/>
    <w:rsid w:val="00DB0584"/>
    <w:rsid w:val="00DC18CD"/>
    <w:rsid w:val="00F3064D"/>
    <w:rsid w:val="00F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B7C9"/>
  <w15:chartTrackingRefBased/>
  <w15:docId w15:val="{AE401379-6841-44A5-8FC4-3394BEA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483848"/>
    <w:rPr>
      <w:b/>
      <w:bCs/>
    </w:rPr>
  </w:style>
  <w:style w:type="character" w:customStyle="1" w:styleId="apple-converted-space">
    <w:name w:val="apple-converted-space"/>
    <w:basedOn w:val="a0"/>
    <w:rsid w:val="00483848"/>
  </w:style>
  <w:style w:type="character" w:styleId="a5">
    <w:name w:val="Emphasis"/>
    <w:basedOn w:val="a0"/>
    <w:uiPriority w:val="20"/>
    <w:qFormat/>
    <w:rsid w:val="00483848"/>
    <w:rPr>
      <w:i/>
      <w:iCs/>
    </w:rPr>
  </w:style>
  <w:style w:type="paragraph" w:styleId="a6">
    <w:name w:val="List Paragraph"/>
    <w:basedOn w:val="a"/>
    <w:uiPriority w:val="34"/>
    <w:qFormat/>
    <w:rsid w:val="00483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4838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838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2C50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5094"/>
  </w:style>
  <w:style w:type="paragraph" w:styleId="2">
    <w:name w:val="Body Text 2"/>
    <w:basedOn w:val="a"/>
    <w:link w:val="20"/>
    <w:uiPriority w:val="99"/>
    <w:unhideWhenUsed/>
    <w:rsid w:val="00D562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1620</Words>
  <Characters>10597</Characters>
  <Application>Microsoft Office Word</Application>
  <DocSecurity>0</DocSecurity>
  <Lines>706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32</cp:revision>
  <dcterms:created xsi:type="dcterms:W3CDTF">2022-10-28T11:06:00Z</dcterms:created>
  <dcterms:modified xsi:type="dcterms:W3CDTF">2022-12-23T10:01:00Z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521c4bc01840cd52a725695db1da6f794c1902c872804c6594b4b69a79476803</vt:lpwstr>
  </property>
</Properties>
</file>